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0207883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AD541F">
        <w:rPr>
          <w:rFonts w:ascii="標楷體" w:eastAsia="標楷體" w:hAnsi="標楷體" w:cs="Times New Roman" w:hint="eastAsia"/>
          <w:b/>
          <w:sz w:val="28"/>
          <w:szCs w:val="28"/>
        </w:rPr>
        <w:t>福山</w:t>
      </w:r>
      <w:r w:rsidR="00AD541F">
        <w:rPr>
          <w:rFonts w:ascii="標楷體" w:eastAsia="標楷體" w:hAnsi="標楷體" w:cs="Times New Roman"/>
          <w:b/>
          <w:sz w:val="28"/>
          <w:szCs w:val="28"/>
        </w:rPr>
        <w:t>囡仔王</w:t>
      </w:r>
      <w:bookmarkStart w:id="0" w:name="_GoBack"/>
      <w:bookmarkEnd w:id="0"/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F8E4114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法律達人</w:t>
      </w:r>
      <w:r w:rsidR="0047644B">
        <w:rPr>
          <w:rFonts w:ascii="標楷體" w:eastAsia="標楷體" w:hAnsi="標楷體" w:cs="Times New Roman" w:hint="eastAsia"/>
          <w:b/>
          <w:sz w:val="28"/>
          <w:szCs w:val="28"/>
        </w:rPr>
        <w:t>大</w:t>
      </w:r>
      <w:r w:rsidR="00F26A17">
        <w:rPr>
          <w:rFonts w:ascii="標楷體" w:eastAsia="標楷體" w:hAnsi="標楷體" w:cs="Times New Roman" w:hint="eastAsia"/>
          <w:b/>
          <w:sz w:val="28"/>
          <w:szCs w:val="28"/>
        </w:rPr>
        <w:t>會考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49CEF6E" w14:textId="3D0B16CE" w:rsidR="0047644B" w:rsidRPr="0047644B" w:rsidRDefault="0092378A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47644B">
        <w:rPr>
          <w:rFonts w:ascii="標楷體" w:eastAsia="標楷體" w:hAnsi="標楷體" w:hint="eastAsia"/>
          <w:color w:val="000000" w:themeColor="text1"/>
        </w:rPr>
        <w:t>1.</w:t>
      </w:r>
      <w:r w:rsidR="0047644B" w:rsidRPr="0047644B">
        <w:rPr>
          <w:rFonts w:ascii="標楷體" w:eastAsia="標楷體" w:hAnsi="標楷體" w:hint="eastAsia"/>
          <w:color w:val="000000" w:themeColor="text1"/>
        </w:rPr>
        <w:t>落實法律常識教學，提升學生法治教育應有知能。</w:t>
      </w:r>
    </w:p>
    <w:p w14:paraId="3EBA58AB" w14:textId="22491292" w:rsidR="0047644B" w:rsidRDefault="0047644B" w:rsidP="0047644B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 w:rsidRPr="0047644B">
        <w:rPr>
          <w:rFonts w:ascii="標楷體" w:eastAsia="標楷體" w:hAnsi="標楷體" w:hint="eastAsia"/>
          <w:color w:val="000000" w:themeColor="text1"/>
        </w:rPr>
        <w:t>透過法律常識教學，培養學生尊重民主法治的精神與態度。</w:t>
      </w:r>
    </w:p>
    <w:p w14:paraId="28D3716A" w14:textId="6E975590" w:rsidR="000B18ED" w:rsidRDefault="00191B43" w:rsidP="0047644B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F65E4B">
        <w:trPr>
          <w:trHeight w:val="561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07C9FFC" w:rsidR="00852347" w:rsidRPr="00852347" w:rsidRDefault="00B27623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一、二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7A5956BB" w:rsidR="00852347" w:rsidRPr="00852347" w:rsidRDefault="005C1EF0" w:rsidP="00F65E4B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F65E4B">
        <w:trPr>
          <w:trHeight w:val="527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57B22045" w:rsidR="00852347" w:rsidRPr="00852347" w:rsidRDefault="0033388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 w:rsidRPr="005C1EF0">
              <w:rPr>
                <w:rFonts w:ascii="標楷體" w:eastAsia="標楷體" w:hAnsi="標楷體" w:cs="標楷體"/>
                <w:b/>
              </w:rPr>
              <w:t xml:space="preserve">E-C1 </w:t>
            </w:r>
            <w:r w:rsidRPr="005C1EF0">
              <w:rPr>
                <w:rFonts w:ascii="標楷體" w:eastAsia="標楷體" w:hAnsi="標楷體" w:cs="標楷體" w:hint="eastAsia"/>
                <w:b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586F3C64" w:rsidR="005C1EF0" w:rsidRPr="007218FB" w:rsidRDefault="00333888" w:rsidP="00CF5B92">
            <w:pPr>
              <w:rPr>
                <w:rFonts w:ascii="標楷體" w:eastAsia="標楷體" w:hAnsi="標楷體" w:cs="標楷體"/>
                <w:b/>
              </w:rPr>
            </w:pPr>
            <w:r w:rsidRPr="00333888">
              <w:rPr>
                <w:rFonts w:ascii="標楷體" w:eastAsia="標楷體" w:hAnsi="標楷體" w:cs="標楷體" w:hint="eastAsia"/>
                <w:b/>
              </w:rPr>
              <w:t>生活-E-C1 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</w:tr>
      <w:tr w:rsidR="00DD26AD" w:rsidRPr="007218FB" w14:paraId="16C8E2E4" w14:textId="77777777" w:rsidTr="00F65E4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D9854C" w14:textId="77777777" w:rsidR="00333888" w:rsidRPr="00333888" w:rsidRDefault="00333888" w:rsidP="00333888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333888">
              <w:rPr>
                <w:rFonts w:ascii="標楷體" w:eastAsia="標楷體" w:hAnsi="標楷體" w:hint="eastAsia"/>
                <w:color w:val="002060"/>
              </w:rPr>
              <w:t>6-I-3 覺察生活中的規範與禮儀，探究其意義，並願意遵守。</w:t>
            </w:r>
          </w:p>
          <w:p w14:paraId="702A032E" w14:textId="52DB8A2D" w:rsidR="00852347" w:rsidRPr="00DD7946" w:rsidRDefault="00333888" w:rsidP="00333888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333888">
              <w:rPr>
                <w:rFonts w:ascii="標楷體" w:eastAsia="標楷體" w:hAnsi="標楷體" w:hint="eastAsia"/>
                <w:color w:val="002060"/>
              </w:rPr>
              <w:t>7-I-3 覺知他人的感受，體會他人的立場及學習體諒他人，並尊重和自己不同觀點的意見。</w:t>
            </w:r>
          </w:p>
        </w:tc>
      </w:tr>
      <w:tr w:rsidR="00DD26AD" w:rsidRPr="007218FB" w14:paraId="4FFA64F2" w14:textId="77777777" w:rsidTr="00F65E4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C98C087" w14:textId="77777777" w:rsidR="00333888" w:rsidRPr="00333888" w:rsidRDefault="00333888" w:rsidP="00333888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333888">
              <w:rPr>
                <w:rFonts w:ascii="標楷體" w:eastAsia="標楷體" w:hAnsi="標楷體" w:hint="eastAsia"/>
                <w:b/>
                <w:color w:val="002060"/>
              </w:rPr>
              <w:t>D-I-3 聆聽與回應的表現。</w:t>
            </w:r>
          </w:p>
          <w:p w14:paraId="43347F09" w14:textId="1B1EC8E6" w:rsidR="00852347" w:rsidRPr="00E7070D" w:rsidRDefault="00333888" w:rsidP="00333888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333888">
              <w:rPr>
                <w:rFonts w:ascii="標楷體" w:eastAsia="標楷體" w:hAnsi="標楷體" w:hint="eastAsia"/>
                <w:b/>
                <w:color w:val="002060"/>
              </w:rPr>
              <w:t>E-I-2 生活規範的實踐。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F30D750" w:rsidR="00852347" w:rsidRPr="007218FB" w:rsidRDefault="00B27623" w:rsidP="00CF5B9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  <w:lang w:eastAsia="ja-JP"/>
              </w:rPr>
              <w:drawing>
                <wp:inline distT="0" distB="0" distL="0" distR="0" wp14:anchorId="7B23A986" wp14:editId="1F19A486">
                  <wp:extent cx="3727841" cy="1399466"/>
                  <wp:effectExtent l="0" t="0" r="635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2189" cy="1416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179FC66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639B9A5F" w14:textId="7A7F97E6" w:rsidR="00B85C70" w:rsidRPr="00B85C70" w:rsidRDefault="00B85C70" w:rsidP="00B85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B85C70">
              <w:rPr>
                <w:rFonts w:ascii="標楷體" w:eastAsia="標楷體" w:hAnsi="標楷體" w:hint="eastAsia"/>
              </w:rPr>
              <w:t>1.各位小朋友，偶爾你跟同學或兄弟姊妹發生糾紛的時候，你是怎麼處理的呢？</w:t>
            </w:r>
          </w:p>
          <w:p w14:paraId="0E026FF5" w14:textId="0796CBAD" w:rsidR="00DD7946" w:rsidRPr="00333888" w:rsidRDefault="00B85C70" w:rsidP="00B85C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B85C70">
              <w:rPr>
                <w:rFonts w:ascii="標楷體" w:eastAsia="標楷體" w:hAnsi="標楷體" w:hint="eastAsia"/>
              </w:rPr>
              <w:t>2.在社會中，如果遇到有人</w:t>
            </w:r>
            <w:r w:rsidR="0073414C">
              <w:rPr>
                <w:rFonts w:ascii="標楷體" w:eastAsia="標楷體" w:hAnsi="標楷體" w:hint="eastAsia"/>
              </w:rPr>
              <w:t>不遵守</w:t>
            </w:r>
            <w:r w:rsidRPr="00B85C70">
              <w:rPr>
                <w:rFonts w:ascii="標楷體" w:eastAsia="標楷體" w:hAnsi="標楷體" w:hint="eastAsia"/>
              </w:rPr>
              <w:t>秩序，應該如何處理呢？</w:t>
            </w:r>
          </w:p>
        </w:tc>
      </w:tr>
      <w:tr w:rsidR="00DD26AD" w:rsidRPr="007218FB" w14:paraId="27750A26" w14:textId="77777777" w:rsidTr="00F65E4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7218FB" w:rsidRDefault="00C86572" w:rsidP="00E7070D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C86572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法治教育議題：法律與法治的意義。</w:t>
            </w:r>
          </w:p>
        </w:tc>
      </w:tr>
      <w:tr w:rsidR="00DD26AD" w:rsidRPr="007218FB" w14:paraId="207CDF3C" w14:textId="77777777" w:rsidTr="00F65E4B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lastRenderedPageBreak/>
              <w:t>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03AE3B81" w:rsidR="000B18ED" w:rsidRPr="000B18ED" w:rsidRDefault="0047644B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47644B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電腦、單槍投影機、影片、學習單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E1C9519" w14:textId="77777777" w:rsidR="00333888" w:rsidRPr="00B54041" w:rsidRDefault="00333888" w:rsidP="00F65E4B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1.能夠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34A8E7F9" w14:textId="6990B80C" w:rsidR="000B18ED" w:rsidRPr="000B18ED" w:rsidRDefault="00333888" w:rsidP="00F65E4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315A83">
              <w:rPr>
                <w:rFonts w:ascii="標楷體" w:eastAsia="標楷體" w:hAnsi="標楷體" w:cs="Arial Unicode MS" w:hint="eastAsia"/>
                <w:color w:val="000000" w:themeColor="text1"/>
              </w:rPr>
              <w:t>2.能夠表達自我想法、尊重他人發表並積極參與。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3F105954" w:rsidR="00280684" w:rsidRPr="00DD7946" w:rsidRDefault="0047644B" w:rsidP="00F65E4B">
            <w:pPr>
              <w:rPr>
                <w:rFonts w:eastAsia="標楷體" w:hAnsi="標楷體"/>
                <w:noProof/>
                <w:color w:val="000000" w:themeColor="text1"/>
              </w:rPr>
            </w:pPr>
            <w:r w:rsidRPr="00F65E4B">
              <w:rPr>
                <w:rFonts w:ascii="標楷體" w:eastAsia="標楷體" w:hAnsi="標楷體" w:cs="Arial Unicode MS" w:hint="eastAsia"/>
                <w:color w:val="000000" w:themeColor="text1"/>
              </w:rPr>
              <w:t>能判斷影片案例的合法性，主動提出個人看法，參與討論並專心聆聽他人意見，尊重他人想法。</w:t>
            </w:r>
          </w:p>
        </w:tc>
      </w:tr>
    </w:tbl>
    <w:p w14:paraId="36510361" w14:textId="0B269AF7" w:rsidR="00E20CAF" w:rsidRDefault="00E20CAF" w:rsidP="00E20CAF"/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333888" w:rsidRPr="003267FC" w14:paraId="0CAC3F1C" w14:textId="77777777" w:rsidTr="00624BB5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78822D0" w14:textId="77777777" w:rsidR="00333888" w:rsidRPr="003267FC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33888" w:rsidRPr="003267FC" w14:paraId="49D746AF" w14:textId="77777777" w:rsidTr="00624BB5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FDDBD4" w14:textId="77777777" w:rsidR="00333888" w:rsidRPr="003267FC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E738DF" w14:textId="77777777" w:rsidR="00333888" w:rsidRPr="003267FC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87D8939" w14:textId="77777777" w:rsidR="00333888" w:rsidRPr="00A504D2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3060ABF" w14:textId="77777777" w:rsidR="00333888" w:rsidRPr="00E81D5F" w:rsidRDefault="00333888" w:rsidP="00624BB5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333888" w:rsidRPr="000A031A" w14:paraId="6A595E19" w14:textId="77777777" w:rsidTr="00624BB5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BF86CE" w14:textId="77777777" w:rsidR="00333888" w:rsidRPr="00B530FE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【法律達人大會考</w:t>
            </w:r>
            <w:r w:rsidRPr="00B530FE">
              <w:rPr>
                <w:rFonts w:ascii="標楷體" w:eastAsia="標楷體" w:hAnsi="標楷體" w:hint="eastAsia"/>
              </w:rPr>
              <w:t>】活動</w:t>
            </w:r>
          </w:p>
          <w:p w14:paraId="68A387DE" w14:textId="77777777" w:rsidR="00333888" w:rsidRPr="00B26B83" w:rsidRDefault="00333888" w:rsidP="00624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4A0333A" w14:textId="77777777" w:rsidR="00333888" w:rsidRPr="00D27D8C" w:rsidRDefault="00333888" w:rsidP="00624BB5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70DA2144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7B3B2ECD" w14:textId="77777777" w:rsidR="00333888" w:rsidRPr="00A17A1A" w:rsidRDefault="00333888" w:rsidP="00624BB5">
            <w:pPr>
              <w:rPr>
                <w:rFonts w:ascii="標楷體" w:eastAsia="標楷體" w:hAnsi="標楷體"/>
                <w:color w:val="000000" w:themeColor="text1"/>
              </w:rPr>
            </w:pPr>
            <w:r w:rsidRPr="00A17A1A"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先行</w:t>
            </w:r>
            <w:r w:rsidRPr="00A17A1A">
              <w:rPr>
                <w:rFonts w:ascii="標楷體" w:eastAsia="標楷體" w:hAnsi="標楷體" w:hint="eastAsia"/>
                <w:color w:val="000000" w:themeColor="text1"/>
              </w:rPr>
              <w:t>播放教學影片</w:t>
            </w:r>
          </w:p>
          <w:p w14:paraId="287F6D7A" w14:textId="77777777" w:rsidR="00333888" w:rsidRPr="000E45E5" w:rsidRDefault="00333888" w:rsidP="00624BB5">
            <w:pPr>
              <w:rPr>
                <w:rFonts w:ascii="標楷體" w:eastAsia="標楷體" w:hAnsi="標楷體"/>
              </w:rPr>
            </w:pPr>
          </w:p>
          <w:p w14:paraId="3B97B6AA" w14:textId="77777777" w:rsidR="00333888" w:rsidRDefault="00333888" w:rsidP="00624BB5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6476D53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一、教師課堂提問：</w:t>
            </w:r>
          </w:p>
          <w:p w14:paraId="3D39F3A0" w14:textId="77777777" w:rsidR="00333888" w:rsidRDefault="00333888" w:rsidP="00333888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 w:rsidRPr="00EC2E33">
              <w:rPr>
                <w:rFonts w:ascii="標楷體" w:eastAsia="標楷體" w:hAnsi="標楷體" w:hint="eastAsia"/>
              </w:rPr>
              <w:t>影片中</w:t>
            </w:r>
            <w:r>
              <w:rPr>
                <w:rFonts w:ascii="標楷體" w:eastAsia="標楷體" w:hAnsi="標楷體" w:hint="eastAsia"/>
              </w:rPr>
              <w:t>的哪些行為是不恰當的？為什麼？</w:t>
            </w:r>
          </w:p>
          <w:p w14:paraId="73441F3B" w14:textId="77777777" w:rsidR="00333888" w:rsidRDefault="00333888" w:rsidP="00333888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日常生活中是否也有遇過類似的狀況？當時感受如何？</w:t>
            </w:r>
          </w:p>
          <w:p w14:paraId="176F2009" w14:textId="77777777" w:rsidR="00333888" w:rsidRPr="0077053C" w:rsidRDefault="00333888" w:rsidP="00333888">
            <w:pPr>
              <w:pStyle w:val="a4"/>
              <w:numPr>
                <w:ilvl w:val="0"/>
                <w:numId w:val="28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遇到這些情況，該怎麼處理？</w:t>
            </w:r>
          </w:p>
          <w:p w14:paraId="1D2CA7A7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二、學生舉手發表</w:t>
            </w:r>
          </w:p>
          <w:p w14:paraId="552875DA" w14:textId="77777777" w:rsidR="00333888" w:rsidRPr="00EC2E33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三、教師總結法律行為與刑責的關係</w:t>
            </w:r>
          </w:p>
          <w:p w14:paraId="0C3E1147" w14:textId="77777777" w:rsidR="00333888" w:rsidRPr="00D27D8C" w:rsidRDefault="00333888" w:rsidP="00624BB5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429858B" w14:textId="77777777" w:rsidR="00333888" w:rsidRDefault="00333888" w:rsidP="00624BB5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教師歸納本節上課重點</w:t>
            </w:r>
          </w:p>
          <w:p w14:paraId="07F4FA8B" w14:textId="77777777" w:rsidR="00333888" w:rsidRPr="0077053C" w:rsidRDefault="00333888" w:rsidP="00624BB5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學生完成學習單</w:t>
            </w:r>
          </w:p>
          <w:p w14:paraId="5C3C6031" w14:textId="77777777" w:rsidR="00333888" w:rsidRPr="00B530FE" w:rsidRDefault="00333888" w:rsidP="00624BB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0C66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E3F5B4E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E96E75" w14:textId="77777777" w:rsidR="00333888" w:rsidRDefault="00333888" w:rsidP="0073414C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3E3F5665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EE23D01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84B20CF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2536900D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940F6F3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4E92E9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D66A4D3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CE04A0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6B943D06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30F5F349" w14:textId="713FCF2B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7FB94CA" w14:textId="4987E013" w:rsidR="0073414C" w:rsidRDefault="0073414C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CAC18CF" w14:textId="7140AA38" w:rsidR="0073414C" w:rsidRDefault="0073414C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CF0B45" w14:textId="77777777" w:rsidR="0073414C" w:rsidRDefault="0073414C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68304C5" w14:textId="77777777" w:rsidR="00333888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4B5ADDD2" w14:textId="77777777" w:rsidR="00333888" w:rsidRPr="00C009D9" w:rsidRDefault="00333888" w:rsidP="00624BB5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7FC9C79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310BD055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D4428D1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ADEAEE5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3BE86048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5CC282DF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D238140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46223EBB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ACD548A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22310C59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4EB3807B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5754D9D4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6D35907A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3AF478D4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4FCC350E" w14:textId="77777777" w:rsidR="00333888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</w:p>
          <w:p w14:paraId="681C4455" w14:textId="77777777" w:rsidR="00333888" w:rsidRPr="00C72DA6" w:rsidRDefault="00333888" w:rsidP="00624BB5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學習單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F76607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1B5EE10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21EB03A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4FF74BFF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5D2B4FED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61A60C37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3A2F8102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4B74FA33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61AF5383" w14:textId="77777777" w:rsidR="00333888" w:rsidRPr="00C34EDC" w:rsidRDefault="00333888" w:rsidP="00624BB5">
            <w:pPr>
              <w:rPr>
                <w:rFonts w:ascii="標楷體" w:eastAsia="標楷體" w:hAnsi="標楷體"/>
              </w:rPr>
            </w:pPr>
          </w:p>
          <w:p w14:paraId="1E23B264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5A7F6C16" w14:textId="77777777" w:rsidR="00333888" w:rsidRDefault="00333888" w:rsidP="00624BB5">
            <w:pPr>
              <w:rPr>
                <w:rFonts w:ascii="標楷體" w:eastAsia="標楷體" w:hAnsi="標楷體"/>
              </w:rPr>
            </w:pPr>
          </w:p>
          <w:p w14:paraId="656265F3" w14:textId="77777777" w:rsidR="00333888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0AEE12F1" w14:textId="77777777" w:rsidR="00333888" w:rsidRPr="00797BDD" w:rsidRDefault="00333888" w:rsidP="00624B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6313BEB5" w14:textId="017BC7EB" w:rsidR="00333888" w:rsidRDefault="00333888" w:rsidP="00E20CAF"/>
    <w:p w14:paraId="1172D86D" w14:textId="27A991BC" w:rsidR="00333888" w:rsidRDefault="00333888" w:rsidP="00333888">
      <w:pPr>
        <w:spacing w:before="100" w:beforeAutospacing="1" w:after="100" w:afterAutospacing="1"/>
      </w:pPr>
      <w:r>
        <w:rPr>
          <w:rFonts w:hint="eastAsia"/>
        </w:rPr>
        <w:t xml:space="preserve">   </w:t>
      </w:r>
      <w:r>
        <w:rPr>
          <w:rFonts w:hint="eastAsia"/>
        </w:rPr>
        <w:t>法治</w:t>
      </w:r>
      <w:r>
        <w:rPr>
          <w:rFonts w:hint="eastAsia"/>
        </w:rPr>
        <w:t>(</w:t>
      </w:r>
      <w:r>
        <w:rPr>
          <w:rFonts w:ascii="標楷體" w:eastAsia="標楷體" w:hAnsi="標楷體" w:hint="eastAsia"/>
        </w:rPr>
        <w:t>法律達人大會考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低年級上</w:t>
      </w:r>
    </w:p>
    <w:p w14:paraId="7DE583EB" w14:textId="77777777" w:rsidR="00333888" w:rsidRPr="002D4B08" w:rsidRDefault="00333888" w:rsidP="00333888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33888" w14:paraId="42B6560A" w14:textId="77777777" w:rsidTr="0073414C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902C2A8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29F2A3A3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5C7C80AD" w14:textId="77777777" w:rsidR="00333888" w:rsidRPr="002D4B0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2F614C3C" w14:textId="77777777" w:rsidR="00333888" w:rsidRPr="00A17A1A" w:rsidRDefault="00333888" w:rsidP="00624BB5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6-I-3</w:t>
            </w:r>
            <w:r w:rsidRPr="006D4F88"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覺察生活中的規範與禮儀，探究其意義，並願意遵守。</w:t>
            </w:r>
          </w:p>
        </w:tc>
      </w:tr>
      <w:tr w:rsidR="00333888" w14:paraId="5382FD05" w14:textId="77777777" w:rsidTr="0073414C">
        <w:trPr>
          <w:trHeight w:val="842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680F98F8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396C4C0B" w14:textId="77777777" w:rsidR="00333888" w:rsidRPr="000E7EEC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0AAE15B2" w14:textId="77777777" w:rsidR="00333888" w:rsidRPr="00A17A1A" w:rsidRDefault="00333888" w:rsidP="00624BB5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說出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影片案例的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合法性與刑責</w:t>
            </w:r>
            <w:r w:rsidRPr="00B54041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333888" w14:paraId="59F78ACA" w14:textId="77777777" w:rsidTr="0073414C">
        <w:trPr>
          <w:trHeight w:val="560"/>
        </w:trPr>
        <w:tc>
          <w:tcPr>
            <w:tcW w:w="2122" w:type="dxa"/>
            <w:vMerge w:val="restart"/>
          </w:tcPr>
          <w:p w14:paraId="63317ADC" w14:textId="77777777" w:rsidR="00333888" w:rsidRPr="006D4F88" w:rsidRDefault="00333888" w:rsidP="00624BB5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E-I-2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D4F88">
              <w:rPr>
                <w:rFonts w:ascii="標楷體" w:eastAsia="標楷體" w:hAnsi="標楷體"/>
              </w:rPr>
              <w:t>生活規範</w:t>
            </w:r>
            <w:r w:rsidRPr="006D4F88">
              <w:rPr>
                <w:rFonts w:ascii="標楷體" w:eastAsia="標楷體" w:hAnsi="標楷體"/>
              </w:rPr>
              <w:lastRenderedPageBreak/>
              <w:t>的實踐。</w:t>
            </w:r>
          </w:p>
          <w:p w14:paraId="7C434626" w14:textId="77777777" w:rsidR="00333888" w:rsidRPr="00EC0302" w:rsidRDefault="00333888" w:rsidP="00624BB5">
            <w:pPr>
              <w:rPr>
                <w:rFonts w:eastAsia="標楷體" w:hAnsi="標楷體"/>
                <w:noProof/>
                <w:highlight w:val="yellow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3BE7262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評分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規準</w:t>
            </w:r>
          </w:p>
          <w:p w14:paraId="2DAF73D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EFCF359" w14:textId="77777777" w:rsidR="00333888" w:rsidRPr="006A7FD8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lastRenderedPageBreak/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9108629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33888" w14:paraId="11548A96" w14:textId="77777777" w:rsidTr="0073414C">
        <w:trPr>
          <w:trHeight w:val="641"/>
        </w:trPr>
        <w:tc>
          <w:tcPr>
            <w:tcW w:w="2122" w:type="dxa"/>
            <w:vMerge/>
          </w:tcPr>
          <w:p w14:paraId="0894548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D7C9803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6FE08F6B" w14:textId="77777777" w:rsidR="00333888" w:rsidRPr="006A7FD8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影片案例的法律行為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14EADE08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33888" w14:paraId="710607DD" w14:textId="77777777" w:rsidTr="0073414C">
        <w:trPr>
          <w:trHeight w:val="565"/>
        </w:trPr>
        <w:tc>
          <w:tcPr>
            <w:tcW w:w="2122" w:type="dxa"/>
            <w:vMerge/>
          </w:tcPr>
          <w:p w14:paraId="7355606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D5F327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81F04B9" w14:textId="77777777" w:rsidR="00333888" w:rsidRPr="006A7FD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影片案例的法律行為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90507B9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33888" w14:paraId="4699DA37" w14:textId="77777777" w:rsidTr="0073414C">
        <w:trPr>
          <w:trHeight w:val="631"/>
        </w:trPr>
        <w:tc>
          <w:tcPr>
            <w:tcW w:w="2122" w:type="dxa"/>
            <w:vMerge/>
          </w:tcPr>
          <w:p w14:paraId="0F68AA51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D5A90C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672358E" w14:textId="77777777" w:rsidR="00333888" w:rsidRPr="006A7FD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影片案例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法律行為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767D790D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33888" w14:paraId="4F25E389" w14:textId="77777777" w:rsidTr="0073414C">
        <w:trPr>
          <w:trHeight w:val="555"/>
        </w:trPr>
        <w:tc>
          <w:tcPr>
            <w:tcW w:w="2122" w:type="dxa"/>
            <w:vMerge/>
          </w:tcPr>
          <w:p w14:paraId="1755387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B62ECF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D29961F" w14:textId="77777777" w:rsidR="00333888" w:rsidRPr="006469A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1F710DAA" w14:textId="77777777" w:rsidR="00333888" w:rsidRPr="00EE5D68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7B96E21F" w14:textId="77777777" w:rsidR="00333888" w:rsidRDefault="00333888" w:rsidP="00333888"/>
    <w:p w14:paraId="666DB9EB" w14:textId="77777777" w:rsidR="00333888" w:rsidRDefault="00333888" w:rsidP="00333888"/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333888" w14:paraId="3C851A9E" w14:textId="77777777" w:rsidTr="0073414C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1A82538D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14CC0046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71332BCF" w14:textId="77777777" w:rsidR="00333888" w:rsidRPr="002D4B0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7321" w:type="dxa"/>
            <w:gridSpan w:val="3"/>
          </w:tcPr>
          <w:p w14:paraId="53248EBF" w14:textId="77777777" w:rsidR="00333888" w:rsidRPr="005456BC" w:rsidRDefault="00333888" w:rsidP="00624BB5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700BD">
              <w:rPr>
                <w:rFonts w:ascii="標楷體" w:eastAsia="標楷體" w:hAnsi="標楷體"/>
              </w:rPr>
              <w:t>7-I-3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700BD">
              <w:rPr>
                <w:rFonts w:ascii="標楷體" w:eastAsia="標楷體" w:hAnsi="標楷體"/>
              </w:rPr>
              <w:t>覺知他人的感受，體會他人的立場及學習體諒他人，並尊重和自己不同觀點的意見。</w:t>
            </w:r>
          </w:p>
        </w:tc>
      </w:tr>
      <w:tr w:rsidR="00333888" w14:paraId="75D5F322" w14:textId="77777777" w:rsidTr="0073414C">
        <w:trPr>
          <w:trHeight w:val="765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95AE215" w14:textId="77777777" w:rsidR="00333888" w:rsidRDefault="00333888" w:rsidP="00624BB5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0EA032CC" w14:textId="77777777" w:rsidR="00333888" w:rsidRPr="0094589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32C9768E" w14:textId="77777777" w:rsidR="00333888" w:rsidRPr="009056C7" w:rsidRDefault="00333888" w:rsidP="00624BB5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315A83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能夠表達自我想法、尊重他人發表並積極參與。</w:t>
            </w:r>
          </w:p>
        </w:tc>
      </w:tr>
      <w:tr w:rsidR="00333888" w14:paraId="349282C6" w14:textId="77777777" w:rsidTr="0073414C">
        <w:trPr>
          <w:trHeight w:val="379"/>
        </w:trPr>
        <w:tc>
          <w:tcPr>
            <w:tcW w:w="2122" w:type="dxa"/>
            <w:vMerge w:val="restart"/>
          </w:tcPr>
          <w:p w14:paraId="2BDD5F7B" w14:textId="77777777" w:rsidR="00333888" w:rsidRPr="006D4F88" w:rsidRDefault="00333888" w:rsidP="00624BB5">
            <w:pPr>
              <w:pStyle w:val="Default"/>
              <w:rPr>
                <w:rFonts w:ascii="標楷體" w:eastAsia="標楷體" w:hAnsi="標楷體"/>
              </w:rPr>
            </w:pPr>
            <w:r w:rsidRPr="006D4F88">
              <w:rPr>
                <w:rFonts w:ascii="標楷體" w:eastAsia="標楷體" w:hAnsi="標楷體"/>
              </w:rPr>
              <w:t>D-I-3</w:t>
            </w:r>
            <w:r w:rsidRPr="006D4F88">
              <w:rPr>
                <w:rFonts w:ascii="標楷體" w:eastAsia="標楷體" w:hAnsi="標楷體" w:hint="eastAsia"/>
              </w:rPr>
              <w:t xml:space="preserve"> 聆聽與回應的表現。</w:t>
            </w:r>
          </w:p>
          <w:p w14:paraId="66A4BC89" w14:textId="77777777" w:rsidR="00333888" w:rsidRPr="00A17A1A" w:rsidRDefault="00333888" w:rsidP="00624BB5">
            <w:pPr>
              <w:pStyle w:val="Default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58E1BF3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67718CF3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A393CAB" w14:textId="77777777" w:rsidR="00333888" w:rsidRPr="006469AF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50D91F4C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33888" w14:paraId="64DD6DB8" w14:textId="77777777" w:rsidTr="0073414C">
        <w:trPr>
          <w:trHeight w:val="414"/>
        </w:trPr>
        <w:tc>
          <w:tcPr>
            <w:tcW w:w="2122" w:type="dxa"/>
            <w:vMerge/>
          </w:tcPr>
          <w:p w14:paraId="73AFA97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50420C7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7A6A4C21" w14:textId="77777777" w:rsidR="00333888" w:rsidRPr="006469AF" w:rsidRDefault="00333888" w:rsidP="00624BB5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5AF78606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33888" w14:paraId="45F37002" w14:textId="77777777" w:rsidTr="0073414C">
        <w:trPr>
          <w:trHeight w:val="419"/>
        </w:trPr>
        <w:tc>
          <w:tcPr>
            <w:tcW w:w="2122" w:type="dxa"/>
            <w:vMerge/>
          </w:tcPr>
          <w:p w14:paraId="1DC7080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78AF83C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96208E3" w14:textId="77777777" w:rsidR="00333888" w:rsidRPr="007A150C" w:rsidRDefault="00333888" w:rsidP="00624BB5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30FBC64E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33888" w14:paraId="340EC5DD" w14:textId="77777777" w:rsidTr="0073414C">
        <w:trPr>
          <w:trHeight w:val="411"/>
        </w:trPr>
        <w:tc>
          <w:tcPr>
            <w:tcW w:w="2122" w:type="dxa"/>
            <w:vMerge/>
          </w:tcPr>
          <w:p w14:paraId="271CD61E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84F0B2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B6A9661" w14:textId="77777777" w:rsidR="00333888" w:rsidRPr="007A150C" w:rsidRDefault="00333888" w:rsidP="00624BB5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影片案例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說明個人的看法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3317D337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33888" w14:paraId="7D6D669F" w14:textId="77777777" w:rsidTr="0073414C">
        <w:trPr>
          <w:trHeight w:val="417"/>
        </w:trPr>
        <w:tc>
          <w:tcPr>
            <w:tcW w:w="2122" w:type="dxa"/>
            <w:vMerge/>
          </w:tcPr>
          <w:p w14:paraId="35C983CE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ED24B7B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4A678C3" w14:textId="77777777" w:rsidR="00333888" w:rsidRPr="006469A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173AAD3" w14:textId="77777777" w:rsidR="00333888" w:rsidRPr="00EE5D68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333888" w14:paraId="2BD910E5" w14:textId="77777777" w:rsidTr="0073414C">
        <w:trPr>
          <w:trHeight w:val="410"/>
        </w:trPr>
        <w:tc>
          <w:tcPr>
            <w:tcW w:w="2122" w:type="dxa"/>
            <w:vMerge/>
          </w:tcPr>
          <w:p w14:paraId="6906D945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46CA217B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5373375C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061FAFCC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8A7E3C1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333888" w14:paraId="1532E5EA" w14:textId="77777777" w:rsidTr="0073414C">
        <w:trPr>
          <w:trHeight w:val="415"/>
        </w:trPr>
        <w:tc>
          <w:tcPr>
            <w:tcW w:w="2122" w:type="dxa"/>
            <w:vMerge/>
          </w:tcPr>
          <w:p w14:paraId="4169FA5B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9B654BF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2DDD525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34690EF" w14:textId="77777777" w:rsidR="00333888" w:rsidRPr="00FE2951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333888" w14:paraId="136ABD97" w14:textId="77777777" w:rsidTr="0073414C">
        <w:trPr>
          <w:trHeight w:val="421"/>
        </w:trPr>
        <w:tc>
          <w:tcPr>
            <w:tcW w:w="2122" w:type="dxa"/>
            <w:vMerge/>
          </w:tcPr>
          <w:p w14:paraId="5CAAF841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602C2F0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2FD2530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4887E86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333888" w14:paraId="652A2C06" w14:textId="77777777" w:rsidTr="0073414C">
        <w:trPr>
          <w:trHeight w:val="427"/>
        </w:trPr>
        <w:tc>
          <w:tcPr>
            <w:tcW w:w="2122" w:type="dxa"/>
            <w:vMerge/>
          </w:tcPr>
          <w:p w14:paraId="00F7F458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365871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8FB92BC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當他人提出建議時，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 w:rsidRPr="00932219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6390964" w14:textId="77777777" w:rsidR="00333888" w:rsidRPr="00C74B1F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333888" w14:paraId="75657DC2" w14:textId="77777777" w:rsidTr="0073414C">
        <w:trPr>
          <w:trHeight w:val="380"/>
        </w:trPr>
        <w:tc>
          <w:tcPr>
            <w:tcW w:w="2122" w:type="dxa"/>
            <w:vMerge/>
          </w:tcPr>
          <w:p w14:paraId="1DE7D532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1EAB208" w14:textId="77777777" w:rsidR="00333888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3BCD911" w14:textId="77777777" w:rsidR="00333888" w:rsidRPr="00C74B1F" w:rsidRDefault="00333888" w:rsidP="00624BB5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7EE013D3" w14:textId="77777777" w:rsidR="00333888" w:rsidRPr="00EE5D68" w:rsidRDefault="00333888" w:rsidP="00624BB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51968246" w14:textId="77777777" w:rsidR="00333888" w:rsidRDefault="00333888" w:rsidP="00333888">
      <w:pPr>
        <w:spacing w:line="520" w:lineRule="exact"/>
        <w:jc w:val="center"/>
        <w:rPr>
          <w:rFonts w:ascii="文鼎標楷注音" w:eastAsia="文鼎標楷注音" w:hAnsi="文鼎標楷注音"/>
          <w:b/>
          <w:sz w:val="32"/>
          <w:szCs w:val="32"/>
        </w:rPr>
      </w:pPr>
    </w:p>
    <w:p w14:paraId="04B125E4" w14:textId="77777777" w:rsidR="00333888" w:rsidRDefault="00333888" w:rsidP="00E20CAF"/>
    <w:sectPr w:rsidR="00333888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609C8" w14:textId="77777777" w:rsidR="00C84565" w:rsidRDefault="00C84565" w:rsidP="00194982">
      <w:r>
        <w:separator/>
      </w:r>
    </w:p>
  </w:endnote>
  <w:endnote w:type="continuationSeparator" w:id="0">
    <w:p w14:paraId="1E92C1F3" w14:textId="77777777" w:rsidR="00C84565" w:rsidRDefault="00C84565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85EDB" w14:textId="77777777" w:rsidR="00C84565" w:rsidRDefault="00C84565" w:rsidP="00194982">
      <w:r>
        <w:separator/>
      </w:r>
    </w:p>
  </w:footnote>
  <w:footnote w:type="continuationSeparator" w:id="0">
    <w:p w14:paraId="7310DA33" w14:textId="77777777" w:rsidR="00C84565" w:rsidRDefault="00C84565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2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26"/>
  </w:num>
  <w:num w:numId="8">
    <w:abstractNumId w:val="14"/>
  </w:num>
  <w:num w:numId="9">
    <w:abstractNumId w:val="12"/>
  </w:num>
  <w:num w:numId="10">
    <w:abstractNumId w:val="5"/>
  </w:num>
  <w:num w:numId="11">
    <w:abstractNumId w:val="22"/>
  </w:num>
  <w:num w:numId="12">
    <w:abstractNumId w:val="11"/>
  </w:num>
  <w:num w:numId="13">
    <w:abstractNumId w:val="21"/>
  </w:num>
  <w:num w:numId="14">
    <w:abstractNumId w:val="24"/>
  </w:num>
  <w:num w:numId="15">
    <w:abstractNumId w:val="17"/>
  </w:num>
  <w:num w:numId="16">
    <w:abstractNumId w:val="18"/>
  </w:num>
  <w:num w:numId="17">
    <w:abstractNumId w:val="8"/>
  </w:num>
  <w:num w:numId="18">
    <w:abstractNumId w:val="25"/>
  </w:num>
  <w:num w:numId="19">
    <w:abstractNumId w:val="9"/>
  </w:num>
  <w:num w:numId="20">
    <w:abstractNumId w:val="19"/>
  </w:num>
  <w:num w:numId="21">
    <w:abstractNumId w:val="3"/>
  </w:num>
  <w:num w:numId="22">
    <w:abstractNumId w:val="23"/>
  </w:num>
  <w:num w:numId="23">
    <w:abstractNumId w:val="13"/>
  </w:num>
  <w:num w:numId="24">
    <w:abstractNumId w:val="15"/>
  </w:num>
  <w:num w:numId="25">
    <w:abstractNumId w:val="1"/>
  </w:num>
  <w:num w:numId="26">
    <w:abstractNumId w:val="2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D3A2A"/>
    <w:rsid w:val="00301E9D"/>
    <w:rsid w:val="00307F40"/>
    <w:rsid w:val="00333888"/>
    <w:rsid w:val="00334375"/>
    <w:rsid w:val="00342F49"/>
    <w:rsid w:val="00351B3B"/>
    <w:rsid w:val="003612DE"/>
    <w:rsid w:val="00382C9C"/>
    <w:rsid w:val="003B707A"/>
    <w:rsid w:val="003D7E0F"/>
    <w:rsid w:val="004078FC"/>
    <w:rsid w:val="0041765C"/>
    <w:rsid w:val="0042710B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6151FB"/>
    <w:rsid w:val="006400E9"/>
    <w:rsid w:val="00653553"/>
    <w:rsid w:val="00664922"/>
    <w:rsid w:val="006B5CD2"/>
    <w:rsid w:val="006D3565"/>
    <w:rsid w:val="006D37C4"/>
    <w:rsid w:val="006E4F59"/>
    <w:rsid w:val="0073414C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AD541F"/>
    <w:rsid w:val="00B0060D"/>
    <w:rsid w:val="00B033AF"/>
    <w:rsid w:val="00B26DCC"/>
    <w:rsid w:val="00B27623"/>
    <w:rsid w:val="00B61ADB"/>
    <w:rsid w:val="00B622F5"/>
    <w:rsid w:val="00B70D84"/>
    <w:rsid w:val="00B85C70"/>
    <w:rsid w:val="00B924CD"/>
    <w:rsid w:val="00B9271D"/>
    <w:rsid w:val="00BA4DCC"/>
    <w:rsid w:val="00BB0078"/>
    <w:rsid w:val="00BB23D1"/>
    <w:rsid w:val="00BC06A2"/>
    <w:rsid w:val="00BD58B3"/>
    <w:rsid w:val="00BF48CE"/>
    <w:rsid w:val="00C05202"/>
    <w:rsid w:val="00C05718"/>
    <w:rsid w:val="00C1210C"/>
    <w:rsid w:val="00C211BC"/>
    <w:rsid w:val="00C565D6"/>
    <w:rsid w:val="00C75AF1"/>
    <w:rsid w:val="00C82267"/>
    <w:rsid w:val="00C823C8"/>
    <w:rsid w:val="00C84565"/>
    <w:rsid w:val="00C86572"/>
    <w:rsid w:val="00CC181E"/>
    <w:rsid w:val="00CC1C8D"/>
    <w:rsid w:val="00CC7EB0"/>
    <w:rsid w:val="00CD56EF"/>
    <w:rsid w:val="00CE5128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65E4B"/>
    <w:rsid w:val="00F71841"/>
    <w:rsid w:val="00F9000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A982-9EEB-4C19-B94D-5C6F793B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6</cp:revision>
  <cp:lastPrinted>2023-06-08T00:31:00Z</cp:lastPrinted>
  <dcterms:created xsi:type="dcterms:W3CDTF">2023-06-08T03:07:00Z</dcterms:created>
  <dcterms:modified xsi:type="dcterms:W3CDTF">2023-06-23T07:27:00Z</dcterms:modified>
</cp:coreProperties>
</file>