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3CA1D" w14:textId="1D50A4D6" w:rsidR="00BA30F4" w:rsidRDefault="00BA30F4" w:rsidP="00BA30F4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高雄市左營區福山國民小學11</w:t>
      </w:r>
      <w:r w:rsidR="00AA40FD">
        <w:rPr>
          <w:rFonts w:ascii="標楷體" w:eastAsia="標楷體" w:hAnsi="標楷體" w:hint="eastAsia"/>
          <w:b/>
          <w:bCs/>
          <w:sz w:val="32"/>
          <w:szCs w:val="32"/>
        </w:rPr>
        <w:t>4</w:t>
      </w:r>
      <w:r>
        <w:rPr>
          <w:rFonts w:ascii="標楷體" w:eastAsia="標楷體" w:hAnsi="標楷體" w:hint="eastAsia"/>
          <w:b/>
          <w:bCs/>
          <w:sz w:val="32"/>
          <w:szCs w:val="32"/>
        </w:rPr>
        <w:t>學年度</w:t>
      </w:r>
      <w:r w:rsidRPr="007D662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自編教材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>
        <w:rPr>
          <w:rFonts w:ascii="標楷體" w:eastAsia="標楷體" w:hAnsi="標楷體" w:hint="eastAsia"/>
        </w:rPr>
        <w:t>（本項需呈現於課發會記錄中）</w:t>
      </w:r>
      <w:r w:rsidRPr="00965A78">
        <w:rPr>
          <w:rFonts w:ascii="標楷體" w:eastAsia="標楷體" w:hAnsi="標楷體" w:hint="eastAsia"/>
          <w:bdr w:val="single" w:sz="4" w:space="0" w:color="auto"/>
        </w:rPr>
        <w:t>可自行修改</w:t>
      </w:r>
    </w:p>
    <w:p w14:paraId="008D85B1" w14:textId="77777777" w:rsidR="00BA30F4" w:rsidRDefault="00BA30F4" w:rsidP="00BA30F4">
      <w:pPr>
        <w:adjustRightInd w:val="0"/>
        <w:snapToGrid w:val="0"/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2"/>
        <w:gridCol w:w="2774"/>
        <w:gridCol w:w="1418"/>
        <w:gridCol w:w="8505"/>
      </w:tblGrid>
      <w:tr w:rsidR="00BA30F4" w14:paraId="0C71C15D" w14:textId="77777777" w:rsidTr="008B44A1">
        <w:trPr>
          <w:trHeight w:val="17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91E5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D9AD" w14:textId="2C71B4EB" w:rsidR="00BA30F4" w:rsidRDefault="001E0261" w:rsidP="008B44A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/>
              </w:rPr>
              <w:t>大小</w:t>
            </w:r>
            <w:r>
              <w:rPr>
                <w:rFonts w:ascii="標楷體" w:eastAsia="標楷體" w:hAnsi="標楷體" w:hint="eastAsia"/>
              </w:rPr>
              <w:t>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C533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F90A" w14:textId="6DCDE56A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□一年級□二年級□三年級□四年級</w:t>
            </w:r>
            <w:r w:rsidR="001E0261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>五年級□六年級</w:t>
            </w:r>
          </w:p>
        </w:tc>
      </w:tr>
      <w:tr w:rsidR="00BA30F4" w14:paraId="1644F87C" w14:textId="77777777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C044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9C03" w14:textId="45FEBD0D" w:rsidR="00BA30F4" w:rsidRDefault="001E0261" w:rsidP="008B44A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BA30F4">
              <w:rPr>
                <w:rFonts w:ascii="標楷體" w:eastAsia="標楷體" w:hAnsi="標楷體" w:hint="eastAsia"/>
              </w:rPr>
              <w:t xml:space="preserve">教學設計(教案) 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BA30F4">
              <w:rPr>
                <w:rFonts w:ascii="標楷體" w:eastAsia="標楷體" w:hAnsi="標楷體" w:hint="eastAsia"/>
              </w:rPr>
              <w:t xml:space="preserve">學習單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BA30F4">
              <w:rPr>
                <w:rFonts w:ascii="標楷體" w:eastAsia="標楷體" w:hAnsi="標楷體" w:hint="eastAsia"/>
              </w:rPr>
              <w:t>教材文本（含媒材……等） □教師手冊</w:t>
            </w:r>
          </w:p>
        </w:tc>
      </w:tr>
      <w:tr w:rsidR="001E0261" w14:paraId="26D1239E" w14:textId="77777777" w:rsidTr="008B44A1">
        <w:trPr>
          <w:trHeight w:val="508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6BE9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1FDE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1.能學會並善用公共圖書搜尋及資料庫平台。</w:t>
            </w:r>
          </w:p>
          <w:p w14:paraId="66366E60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>
              <w:rPr>
                <w:rFonts w:ascii="標楷體" w:eastAsia="標楷體" w:hAnsi="標楷體" w:cs="Arial"/>
                <w:szCs w:val="20"/>
                <w:lang w:eastAsia="zh-TW"/>
              </w:rPr>
              <w:t>2.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能利用高市圖高市圖資料庫平台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透過網路線上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閱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讀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取得研究練習所需相關資訊。</w:t>
            </w:r>
          </w:p>
          <w:p w14:paraId="513533D6" w14:textId="77777777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3.能以故事標題、六何法分析書籍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內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容的架構與情節預測。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 xml:space="preserve"> </w:t>
            </w:r>
          </w:p>
          <w:p w14:paraId="01128637" w14:textId="77777777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 xml:space="preserve">4.能理解故事要素在故事鋪陳與創作上所造成的文學效果。 </w:t>
            </w:r>
          </w:p>
          <w:p w14:paraId="3EB3ADEB" w14:textId="77777777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5.能分辨小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說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與童話在情節、描述與故事架構上的差異。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 xml:space="preserve"> </w:t>
            </w:r>
          </w:p>
          <w:p w14:paraId="0E23E438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6.能以想像力感受詩歌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內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文所表達的意涵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。</w:t>
            </w:r>
          </w:p>
          <w:p w14:paraId="11F7011A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7.能理解詩歌在重複句法架構下所創造的文學效果。</w:t>
            </w:r>
          </w:p>
          <w:p w14:paraId="4BF2043B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>
              <w:rPr>
                <w:rFonts w:ascii="標楷體" w:eastAsia="標楷體" w:hAnsi="標楷體" w:cs="Arial"/>
                <w:szCs w:val="20"/>
                <w:lang w:eastAsia="zh-TW"/>
              </w:rPr>
              <w:t>8.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能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夠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解讀新聞文本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對新聞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內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的重要資訊與觀點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進行判斷與提問。</w:t>
            </w:r>
          </w:p>
          <w:p w14:paraId="1E9937B5" w14:textId="77777777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>
              <w:rPr>
                <w:rFonts w:ascii="標楷體" w:eastAsia="標楷體" w:hAnsi="標楷體" w:cs="Arial"/>
                <w:szCs w:val="20"/>
                <w:lang w:eastAsia="zh-TW"/>
              </w:rPr>
              <w:t>9.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能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夠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與同儕進行討論對話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辨識新聞裡的議題訊息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 xml:space="preserve">並交流彼此不同的新聞觀點。 </w:t>
            </w:r>
          </w:p>
          <w:p w14:paraId="76FAE049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10能理解新聞文本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培養是非判斷的能力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對社會現況與世界局勢有初步認識。</w:t>
            </w:r>
          </w:p>
          <w:p w14:paraId="117B3FF1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11.能以故事篇章標題進行書籍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內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容的架構與情節預測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。</w:t>
            </w:r>
          </w:p>
          <w:p w14:paraId="4050B7EC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12.能以六何法針對班級共讀書籍</w:t>
            </w:r>
            <w:r w:rsidRPr="006255EA">
              <w:rPr>
                <w:rFonts w:ascii="標楷體" w:eastAsia="標楷體" w:hAnsi="標楷體" w:cs="微軟正黑體" w:hint="eastAsia"/>
                <w:szCs w:val="20"/>
                <w:lang w:eastAsia="zh-TW"/>
              </w:rPr>
              <w:t>內</w:t>
            </w:r>
            <w:r w:rsidRPr="006255EA">
              <w:rPr>
                <w:rFonts w:ascii="標楷體" w:eastAsia="標楷體" w:hAnsi="標楷體" w:hint="eastAsia"/>
                <w:szCs w:val="20"/>
                <w:lang w:eastAsia="zh-TW"/>
              </w:rPr>
              <w:t>容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練習提出關鍵問題。</w:t>
            </w:r>
          </w:p>
          <w:p w14:paraId="73ACBB7D" w14:textId="77777777" w:rsidR="001E0261" w:rsidRPr="006255EA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6255EA">
              <w:rPr>
                <w:rFonts w:ascii="標楷體" w:eastAsia="標楷體" w:hAnsi="標楷體" w:cs="Arial"/>
                <w:szCs w:val="20"/>
                <w:lang w:eastAsia="zh-TW"/>
              </w:rPr>
              <w:t>13.能理解故事要素在故事鋪陳與創作上所造成的文學效果。</w:t>
            </w:r>
          </w:p>
          <w:p w14:paraId="0B21B2B3" w14:textId="44A193AF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255EA">
              <w:rPr>
                <w:rFonts w:ascii="標楷體" w:eastAsia="標楷體" w:hAnsi="標楷體" w:cs="Arial"/>
                <w:szCs w:val="20"/>
              </w:rPr>
              <w:t>14.能分辨小</w:t>
            </w:r>
            <w:r w:rsidRPr="006255EA">
              <w:rPr>
                <w:rFonts w:ascii="標楷體" w:eastAsia="標楷體" w:hAnsi="標楷體" w:cs="微軟正黑體" w:hint="eastAsia"/>
                <w:szCs w:val="20"/>
              </w:rPr>
              <w:t>說</w:t>
            </w:r>
            <w:r w:rsidRPr="006255EA">
              <w:rPr>
                <w:rFonts w:ascii="標楷體" w:eastAsia="標楷體" w:hAnsi="標楷體" w:hint="eastAsia"/>
                <w:szCs w:val="20"/>
              </w:rPr>
              <w:t>在情節、描述與故事架構上的特性與手法</w:t>
            </w:r>
            <w:r w:rsidRPr="006255EA">
              <w:rPr>
                <w:rFonts w:ascii="標楷體" w:eastAsia="標楷體" w:hAnsi="標楷體" w:cs="Arial"/>
                <w:szCs w:val="20"/>
              </w:rPr>
              <w:t>。</w:t>
            </w:r>
          </w:p>
        </w:tc>
      </w:tr>
      <w:tr w:rsidR="001E0261" w14:paraId="5535133E" w14:textId="77777777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2CC8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FE13" w14:textId="745CA677" w:rsidR="001E0261" w:rsidRPr="00B270E5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國-E-A2透過國語文學習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掌握文本要旨、發展學習及解決問題策略、初探邏輯思維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並透過體驗與實踐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處理日常生活問題。</w:t>
            </w:r>
          </w:p>
          <w:p w14:paraId="13BBF73F" w14:textId="228C557E" w:rsidR="001E0261" w:rsidRPr="00B270E5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-E-A3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運用國語文充實生活經驗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學習有步驟的規劃活動和解決問題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並探索多元知能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培養創新精神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以增進生活適應力。</w:t>
            </w:r>
          </w:p>
          <w:p w14:paraId="2D08E549" w14:textId="4DF04C27" w:rsidR="001E0261" w:rsidRPr="00B270E5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社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-E-A3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探究人類生活相關議題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規劃學習計畫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並在執行過程中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因應情境變化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持續調整與創新。</w:t>
            </w:r>
          </w:p>
          <w:p w14:paraId="4950DA3D" w14:textId="03A144B3" w:rsidR="001E0261" w:rsidRPr="00B270E5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-E-B1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理解與運用國語文在日常生活中學習體察他人的感受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並給予適當的回應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以達成溝通及互動的目標。</w:t>
            </w:r>
          </w:p>
          <w:p w14:paraId="3DD14342" w14:textId="7874D816" w:rsidR="001E0261" w:rsidRPr="00B270E5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社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-E-B1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透過語言、文字及圖像等表徵符號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理解人類生活的豐富面貌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並能運用多樣的表徵符號解釋相關訊息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達成溝通的目的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促進相互間的理解。</w:t>
            </w:r>
          </w:p>
          <w:p w14:paraId="200E0070" w14:textId="5BA2B6B8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國-E-B2理解網際網路和資訊科技對學習的重要性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藉以擴展語文學習的範疇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並培養審慎使用類資訊的能力。</w:t>
            </w:r>
          </w:p>
          <w:p w14:paraId="54338AC6" w14:textId="57367F26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社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</w:t>
            </w: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B2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認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識與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用科技、資訊及媒體，並探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究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其與人類社會價值、信仰及態度的關聯。</w:t>
            </w:r>
          </w:p>
          <w:p w14:paraId="585FAFB6" w14:textId="29ABCF1F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lastRenderedPageBreak/>
              <w:t>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-E-B3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用多重感官感受文藝之美，體驗生活中的美感事物，並發展藝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文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創作與欣賞的基本素養。</w:t>
            </w:r>
          </w:p>
          <w:p w14:paraId="69E4B487" w14:textId="07D959D2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 w:rsidRPr="00B270E5">
              <w:rPr>
                <w:rFonts w:ascii="標楷體" w:eastAsia="標楷體" w:hAnsi="標楷體" w:cs="Arial"/>
                <w:szCs w:val="20"/>
                <w:lang w:eastAsia="zh-TW"/>
              </w:rPr>
              <w:t>國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-E-C1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閱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讀各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類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文本，從中培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養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是非判斷的能力，以了解自己與所處社會的關係，培養同理心與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責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任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感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關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懷自然生態與增進公民意識。</w:t>
            </w:r>
          </w:p>
          <w:p w14:paraId="05EE8FF7" w14:textId="12DC2F62" w:rsidR="001E0261" w:rsidRDefault="001E0261" w:rsidP="001E0261">
            <w:pPr>
              <w:pStyle w:val="Web"/>
              <w:spacing w:before="0" w:beforeAutospacing="0" w:after="0" w:afterAutospacing="0"/>
              <w:rPr>
                <w:rFonts w:ascii="標楷體" w:eastAsia="標楷體" w:hAnsi="標楷體" w:cs="Arial"/>
                <w:szCs w:val="20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社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-E-C1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培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養良好的生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活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習慣，理解並遵守社會規範</w:t>
            </w:r>
            <w:r>
              <w:rPr>
                <w:rFonts w:ascii="標楷體" w:eastAsia="標楷體" w:hAnsi="標楷體" w:cs="Arial" w:hint="eastAsia"/>
                <w:szCs w:val="20"/>
                <w:lang w:eastAsia="zh-TW"/>
              </w:rPr>
              <w:t>，</w:t>
            </w:r>
            <w:r>
              <w:rPr>
                <w:rFonts w:ascii="標楷體" w:eastAsia="標楷體" w:hAnsi="標楷體" w:cs="Arial"/>
                <w:szCs w:val="20"/>
                <w:lang w:eastAsia="zh-TW"/>
              </w:rPr>
              <w:t>參與公共事務，養成社會責任感，尊重並維護自己和他人的人權，關懷自然環境與人類社會的永續發展。</w:t>
            </w:r>
          </w:p>
          <w:p w14:paraId="5ED2B9F7" w14:textId="743D03F1" w:rsidR="001E0261" w:rsidRPr="00965A78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國</w:t>
            </w:r>
            <w:r>
              <w:rPr>
                <w:rFonts w:ascii="標楷體" w:eastAsia="標楷體" w:hAnsi="標楷體" w:cs="Arial"/>
                <w:szCs w:val="20"/>
              </w:rPr>
              <w:t>-E-C2</w:t>
            </w:r>
            <w:r>
              <w:rPr>
                <w:rFonts w:ascii="標楷體" w:eastAsia="標楷體" w:hAnsi="標楷體" w:cs="Arial" w:hint="eastAsia"/>
                <w:szCs w:val="20"/>
              </w:rPr>
              <w:t>與</w:t>
            </w:r>
            <w:r>
              <w:rPr>
                <w:rFonts w:ascii="標楷體" w:eastAsia="標楷體" w:hAnsi="標楷體" w:cs="Arial"/>
                <w:szCs w:val="20"/>
              </w:rPr>
              <w:t>他人互動時，能適切運用語文能力表達個人想法，理解與包容不同意見，樂於態與學校及社</w:t>
            </w:r>
            <w:r>
              <w:rPr>
                <w:rFonts w:ascii="標楷體" w:eastAsia="標楷體" w:hAnsi="標楷體" w:cs="Arial" w:hint="eastAsia"/>
                <w:szCs w:val="20"/>
              </w:rPr>
              <w:t>區</w:t>
            </w:r>
            <w:r>
              <w:rPr>
                <w:rFonts w:ascii="標楷體" w:eastAsia="標楷體" w:hAnsi="標楷體" w:cs="Arial"/>
                <w:szCs w:val="20"/>
              </w:rPr>
              <w:t>活動，體會團隊合作</w:t>
            </w:r>
            <w:r>
              <w:rPr>
                <w:rFonts w:ascii="標楷體" w:eastAsia="標楷體" w:hAnsi="標楷體" w:cs="Arial" w:hint="eastAsia"/>
                <w:szCs w:val="20"/>
              </w:rPr>
              <w:t>的</w:t>
            </w:r>
            <w:r>
              <w:rPr>
                <w:rFonts w:ascii="標楷體" w:eastAsia="標楷體" w:hAnsi="標楷體" w:cs="Arial"/>
                <w:szCs w:val="20"/>
              </w:rPr>
              <w:t>重要性。</w:t>
            </w:r>
          </w:p>
        </w:tc>
      </w:tr>
    </w:tbl>
    <w:p w14:paraId="70301B8B" w14:textId="77777777" w:rsidR="00BA30F4" w:rsidRDefault="00BA30F4" w:rsidP="00BA30F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貳、審查內容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211"/>
        <w:gridCol w:w="1576"/>
        <w:gridCol w:w="1577"/>
        <w:gridCol w:w="1577"/>
        <w:gridCol w:w="1577"/>
        <w:gridCol w:w="1577"/>
        <w:gridCol w:w="2322"/>
        <w:gridCol w:w="1353"/>
      </w:tblGrid>
      <w:tr w:rsidR="00BA30F4" w14:paraId="3D8D6DB6" w14:textId="77777777" w:rsidTr="008B44A1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A487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3ABD7A6D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87F6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9792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14:paraId="76FDA682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E9CDB2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14:paraId="53852B43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6D97E16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C6D62D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7713616C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BA30F4" w14:paraId="4C8FEA63" w14:textId="77777777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B428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68F3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2D62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339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BDC2" w14:textId="77777777"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6C41" w14:textId="77777777"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DCF8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BA30F4" w14:paraId="5E7CD668" w14:textId="77777777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BF11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C69F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7443" w14:textId="77777777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1882" w14:textId="77777777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4231" w14:textId="77777777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1B28" w14:textId="77777777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A0B4" w14:textId="77777777"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E4B1" w14:textId="77777777"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4932" w14:textId="77777777"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1E0261" w14:paraId="24FD8828" w14:textId="77777777" w:rsidTr="001E026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117B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上</w:t>
            </w:r>
          </w:p>
          <w:p w14:paraId="53227C31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14:paraId="35926948" w14:textId="6D033BD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檢索</w:t>
            </w:r>
            <w:r>
              <w:rPr>
                <w:rFonts w:ascii="標楷體" w:eastAsia="標楷體" w:hAnsi="標楷體"/>
              </w:rPr>
              <w:t>公共圖書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196A" w14:textId="77777777" w:rsidR="001E0261" w:rsidRPr="004E710D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E710D">
              <w:rPr>
                <w:rFonts w:ascii="標楷體" w:eastAsia="標楷體" w:hAnsi="標楷體" w:hint="eastAsia"/>
              </w:rPr>
              <w:t>1.自</w:t>
            </w:r>
            <w:r w:rsidRPr="004E710D">
              <w:rPr>
                <w:rFonts w:ascii="標楷體" w:eastAsia="標楷體" w:hAnsi="標楷體"/>
              </w:rPr>
              <w:t>編</w:t>
            </w:r>
          </w:p>
          <w:p w14:paraId="4CDDC2DA" w14:textId="2E6FCAAE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E710D">
              <w:rPr>
                <w:rFonts w:ascii="標楷體" w:eastAsia="標楷體" w:hAnsi="標楷體" w:hint="eastAsia"/>
              </w:rPr>
              <w:t>2.參</w:t>
            </w:r>
            <w:r w:rsidRPr="004E710D">
              <w:rPr>
                <w:rFonts w:ascii="標楷體" w:eastAsia="標楷體" w:hAnsi="標楷體"/>
              </w:rPr>
              <w:t>考高市圖網頁資訊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FAE9" w14:textId="69300030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C0EB50F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47EA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521E380" w14:textId="6A94DDB5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C847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7EC9CB0" w14:textId="2EAD0DE2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A04A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3690AA6" w14:textId="0C920F3A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F760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FAB5B38" w14:textId="1560E0F0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D74E3B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1DE113F0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5EC6A43E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6782F" w14:textId="7446AF96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1E0261" w14:paraId="335B781A" w14:textId="77777777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D07B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上</w:t>
            </w:r>
          </w:p>
          <w:p w14:paraId="2CBCF84B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14:paraId="67EC6E33" w14:textId="688E279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</w:t>
            </w:r>
            <w:r>
              <w:rPr>
                <w:rFonts w:ascii="標楷體" w:eastAsia="標楷體" w:hAnsi="標楷體"/>
              </w:rPr>
              <w:t>寫手練功坊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BD99" w14:textId="77777777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自</w:t>
            </w:r>
            <w:r>
              <w:rPr>
                <w:rFonts w:ascii="標楷體" w:eastAsia="標楷體" w:hAnsi="標楷體"/>
              </w:rPr>
              <w:t>編</w:t>
            </w:r>
          </w:p>
          <w:p w14:paraId="744C7A95" w14:textId="62236614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2.參</w:t>
            </w:r>
            <w:r>
              <w:rPr>
                <w:rFonts w:ascii="標楷體" w:eastAsia="標楷體" w:hAnsi="標楷體"/>
              </w:rPr>
              <w:t>考《</w:t>
            </w:r>
            <w:r>
              <w:rPr>
                <w:rFonts w:ascii="標楷體" w:eastAsia="標楷體" w:hAnsi="標楷體" w:hint="eastAsia"/>
              </w:rPr>
              <w:t>高</w:t>
            </w:r>
            <w:r>
              <w:rPr>
                <w:rFonts w:ascii="標楷體" w:eastAsia="標楷體" w:hAnsi="標楷體"/>
              </w:rPr>
              <w:t>效閱讀：閱讀理解問思教學》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A116" w14:textId="74E4AF9B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0BBA5AF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BA29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4BD5EF5" w14:textId="0F389FCC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C9A7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2BFB5E6" w14:textId="778CD685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B1B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312DDFB" w14:textId="060D376B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DD84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292A888" w14:textId="2587DEBC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863C4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6CF8216E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062760E4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50270" w14:textId="56CB066D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1E0261" w14:paraId="6461AE57" w14:textId="77777777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02C2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上</w:t>
            </w:r>
          </w:p>
          <w:p w14:paraId="184678C3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元三</w:t>
            </w:r>
          </w:p>
          <w:p w14:paraId="4EE02ED7" w14:textId="629391BA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詩</w:t>
            </w:r>
            <w:r>
              <w:rPr>
                <w:rFonts w:ascii="標楷體" w:eastAsia="標楷體" w:hAnsi="標楷體"/>
              </w:rPr>
              <w:t>韻篇篇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88F3" w14:textId="77777777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1.自</w:t>
            </w:r>
            <w:r>
              <w:rPr>
                <w:rFonts w:ascii="標楷體" w:eastAsia="標楷體" w:hAnsi="標楷體"/>
              </w:rPr>
              <w:t>編</w:t>
            </w:r>
          </w:p>
          <w:p w14:paraId="0971D0F1" w14:textId="1074C033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2.參</w:t>
            </w:r>
            <w:r>
              <w:rPr>
                <w:rFonts w:ascii="標楷體" w:eastAsia="標楷體" w:hAnsi="標楷體"/>
              </w:rPr>
              <w:t>考：《</w:t>
            </w: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民新詩讀本》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3815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E695110" w14:textId="49B1493B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40D7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957D6C3" w14:textId="61EB3ADD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2A6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9D6CBBC" w14:textId="23EE278F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66E1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052BD6B" w14:textId="2D27759E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0AD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1398EB5" w14:textId="4425904F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24919D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F32866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E0261" w14:paraId="498E1797" w14:textId="77777777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29E9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下</w:t>
            </w:r>
          </w:p>
          <w:p w14:paraId="569AB120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元一</w:t>
            </w:r>
          </w:p>
          <w:p w14:paraId="710D6EBB" w14:textId="0789FE88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世</w:t>
            </w:r>
            <w:r>
              <w:rPr>
                <w:rFonts w:ascii="標楷體" w:eastAsia="標楷體" w:hAnsi="標楷體"/>
              </w:rPr>
              <w:t>界公民行動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5C14" w14:textId="77777777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自</w:t>
            </w:r>
            <w:r>
              <w:rPr>
                <w:rFonts w:ascii="標楷體" w:eastAsia="標楷體" w:hAnsi="標楷體"/>
              </w:rPr>
              <w:t>編</w:t>
            </w:r>
          </w:p>
          <w:p w14:paraId="2B5DFE3C" w14:textId="41D92618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文</w:t>
            </w:r>
            <w:r>
              <w:rPr>
                <w:rFonts w:ascii="標楷體" w:eastAsia="標楷體" w:hAnsi="標楷體"/>
              </w:rPr>
              <w:t>章引</w:t>
            </w:r>
            <w:r>
              <w:rPr>
                <w:rFonts w:ascii="標楷體" w:eastAsia="標楷體" w:hAnsi="標楷體" w:hint="eastAsia"/>
              </w:rPr>
              <w:t>自</w:t>
            </w:r>
            <w:r>
              <w:rPr>
                <w:rFonts w:ascii="標楷體" w:eastAsia="標楷體" w:hAnsi="標楷體"/>
              </w:rPr>
              <w:t>：國語</w:t>
            </w:r>
            <w:r>
              <w:rPr>
                <w:rFonts w:ascii="標楷體" w:eastAsia="標楷體" w:hAnsi="標楷體" w:hint="eastAsia"/>
              </w:rPr>
              <w:t>日</w:t>
            </w:r>
            <w:bookmarkStart w:id="0" w:name="_GoBack"/>
            <w:bookmarkEnd w:id="0"/>
            <w:r>
              <w:rPr>
                <w:rFonts w:ascii="標楷體" w:eastAsia="標楷體" w:hAnsi="標楷體"/>
              </w:rPr>
              <w:t>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BAB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FEF18D7" w14:textId="7E53618A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E3D7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298D02A" w14:textId="121EA0ED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5434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B76AFDA" w14:textId="597B19E5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3936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3451ACE" w14:textId="44A8B059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171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D223E28" w14:textId="17BD394F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B75EF8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33326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E0261" w14:paraId="02C88F4C" w14:textId="77777777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6092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下</w:t>
            </w:r>
          </w:p>
          <w:p w14:paraId="26089543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元二</w:t>
            </w:r>
          </w:p>
          <w:p w14:paraId="52CC2AAB" w14:textId="3252E51C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世</w:t>
            </w:r>
            <w:r>
              <w:rPr>
                <w:rFonts w:ascii="標楷體" w:eastAsia="標楷體" w:hAnsi="標楷體"/>
              </w:rPr>
              <w:t>界文學探索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3EBC" w14:textId="77777777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1.自</w:t>
            </w:r>
            <w:r>
              <w:rPr>
                <w:rFonts w:ascii="標楷體" w:eastAsia="標楷體" w:hAnsi="標楷體"/>
              </w:rPr>
              <w:t>編</w:t>
            </w:r>
          </w:p>
          <w:p w14:paraId="7D8DC9AB" w14:textId="096F8ACA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2.參</w:t>
            </w:r>
            <w:r>
              <w:rPr>
                <w:rFonts w:ascii="標楷體" w:eastAsia="標楷體" w:hAnsi="標楷體"/>
              </w:rPr>
              <w:t>考：《</w:t>
            </w:r>
            <w:r>
              <w:rPr>
                <w:rFonts w:ascii="標楷體" w:eastAsia="標楷體" w:hAnsi="標楷體" w:hint="eastAsia"/>
              </w:rPr>
              <w:t>少</w:t>
            </w:r>
            <w:r>
              <w:rPr>
                <w:rFonts w:ascii="標楷體" w:eastAsia="標楷體" w:hAnsi="標楷體"/>
              </w:rPr>
              <w:t>年小</w:t>
            </w:r>
            <w:r>
              <w:rPr>
                <w:rFonts w:ascii="標楷體" w:eastAsia="標楷體" w:hAnsi="標楷體"/>
              </w:rPr>
              <w:lastRenderedPageBreak/>
              <w:t>說怎麼讀》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D9A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lastRenderedPageBreak/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37EA65F" w14:textId="5EB15CF8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8CDB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CC17116" w14:textId="5B508393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8C53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41C4C61" w14:textId="0718118A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640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CAB1AF3" w14:textId="7141FB26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E236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B35C3D4" w14:textId="1F8ED968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676E7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C626C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E0261" w14:paraId="3479E789" w14:textId="77777777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2EB8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下</w:t>
            </w:r>
          </w:p>
          <w:p w14:paraId="1508F953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>
              <w:rPr>
                <w:rFonts w:ascii="標楷體" w:eastAsia="標楷體" w:hAnsi="標楷體"/>
              </w:rPr>
              <w:t>元三</w:t>
            </w:r>
          </w:p>
          <w:p w14:paraId="2BDA101B" w14:textId="1451ACA3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探</w:t>
            </w:r>
            <w:r>
              <w:rPr>
                <w:rFonts w:ascii="標楷體" w:eastAsia="標楷體" w:hAnsi="標楷體"/>
              </w:rPr>
              <w:t>索知識寶庫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A7A2" w14:textId="77777777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自</w:t>
            </w:r>
            <w:r>
              <w:rPr>
                <w:rFonts w:ascii="標楷體" w:eastAsia="標楷體" w:hAnsi="標楷體"/>
              </w:rPr>
              <w:t>編</w:t>
            </w:r>
          </w:p>
          <w:p w14:paraId="67A8AFBA" w14:textId="1023B118" w:rsidR="001E0261" w:rsidRDefault="001E0261" w:rsidP="001E026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2.參</w:t>
            </w:r>
            <w:r>
              <w:rPr>
                <w:rFonts w:ascii="標楷體" w:eastAsia="標楷體" w:hAnsi="標楷體"/>
              </w:rPr>
              <w:t>考：高市圖資料庫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E6D2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D6A5D31" w14:textId="7FBDCF7E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005F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4860CDA" w14:textId="0CF1100F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D73C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5A7B7D3" w14:textId="3CAACCB9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AA52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E43EF12" w14:textId="6C9F192D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CA43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270E5">
              <w:rPr>
                <w:rFonts w:ascii="標楷體" w:eastAsia="標楷體" w:hAnsi="標楷體" w:cs="Arial"/>
                <w:szCs w:val="20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F376212" w14:textId="437D2A02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A5942" w14:textId="77777777" w:rsidR="001E0261" w:rsidRDefault="001E0261" w:rsidP="001E026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FEF140" w14:textId="77777777" w:rsidR="001E0261" w:rsidRDefault="001E0261" w:rsidP="001E0261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571B4932" w14:textId="77777777" w:rsidR="00BA30F4" w:rsidRDefault="00BA30F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（表格若不足，請自行增列）</w:t>
      </w:r>
    </w:p>
    <w:p w14:paraId="4CD3F581" w14:textId="77777777"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14:paraId="7A7E36BE" w14:textId="77777777"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14:paraId="570711E8" w14:textId="77777777" w:rsidR="00410F24" w:rsidRDefault="00410F24" w:rsidP="00410F2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4546C6ED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474A3D2D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0619C157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（二）可為紙本或數位型態，惟皆需註明購置或選用教材來源出處。</w:t>
      </w:r>
    </w:p>
    <w:p w14:paraId="251ADFDA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（三）可為文本、學習單、圖片、音樂、影片……等，惟需切合課程目標。</w:t>
      </w:r>
    </w:p>
    <w:p w14:paraId="130A7F59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14C421F2" w14:textId="77777777"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435705A0" w14:textId="77777777"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7C7F9440" w14:textId="77777777" w:rsidR="00410F24" w:rsidRDefault="00410F24" w:rsidP="00410F24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4567663E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2ACA3044" w14:textId="77777777"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（一）若為印製選用，請確依著作權法第四十六條及相關規定。</w:t>
      </w:r>
    </w:p>
    <w:p w14:paraId="29AA6F14" w14:textId="77777777" w:rsidR="00410F24" w:rsidRDefault="00410F24" w:rsidP="00410F24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0A742BF5" w14:textId="77777777"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25C719BE" w14:textId="77777777"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（一）各開課領域/年級可於領域教學研究會或學年會議中，先行自評，並將自評結果送課發會審議。</w:t>
      </w:r>
    </w:p>
    <w:p w14:paraId="6233494A" w14:textId="77777777"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14:paraId="648F8FB8" w14:textId="77777777"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14:paraId="72897F00" w14:textId="77777777"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14:paraId="1FDA1831" w14:textId="77777777"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3、勾選為「不通過」者，開課領域/年級修正後需再經課發會決議，方可通過。</w:t>
      </w:r>
    </w:p>
    <w:p w14:paraId="0CDEC694" w14:textId="77777777" w:rsidR="00410F24" w:rsidRPr="00965A78" w:rsidRDefault="00410F24" w:rsidP="00410F24">
      <w:pPr>
        <w:rPr>
          <w:rFonts w:ascii="標楷體" w:eastAsia="標楷體" w:hAnsi="標楷體"/>
          <w:b/>
        </w:rPr>
      </w:pPr>
    </w:p>
    <w:p w14:paraId="5974C6C6" w14:textId="77777777" w:rsidR="00410F24" w:rsidRPr="00E24B7B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</w:p>
    <w:p w14:paraId="6FFA7DCE" w14:textId="77777777" w:rsidR="00410F24" w:rsidRPr="00C2223E" w:rsidRDefault="00410F24" w:rsidP="00410F2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14:paraId="77B94CE8" w14:textId="77777777"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1AC850E7" w14:textId="77777777"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11D461B2" w14:textId="77777777" w:rsidR="00410F24" w:rsidRPr="00C2223E" w:rsidRDefault="00410F24" w:rsidP="00E43DC6">
      <w:pPr>
        <w:adjustRightInd w:val="0"/>
        <w:snapToGrid w:val="0"/>
        <w:spacing w:line="560" w:lineRule="exact"/>
        <w:ind w:left="725" w:right="240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="00E43DC6">
        <w:rPr>
          <w:rFonts w:ascii="標楷體" w:eastAsia="標楷體" w:hAnsi="標楷體"/>
        </w:rPr>
        <w:t xml:space="preserve">   年    月    日</w:t>
      </w:r>
      <w:r w:rsidRPr="00C2223E">
        <w:rPr>
          <w:rFonts w:ascii="標楷體" w:eastAsia="標楷體" w:hAnsi="標楷體"/>
          <w:u w:val="single"/>
        </w:rPr>
        <w:t xml:space="preserve"> </w:t>
      </w:r>
    </w:p>
    <w:p w14:paraId="1BB4B0D9" w14:textId="77777777" w:rsidR="00D642A9" w:rsidRPr="00BA30F4" w:rsidRDefault="00D642A9"/>
    <w:sectPr w:rsidR="00D642A9" w:rsidRPr="00BA30F4" w:rsidSect="00BA30F4">
      <w:pgSz w:w="16838" w:h="11906" w:orient="landscape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A9150" w14:textId="77777777" w:rsidR="009500AF" w:rsidRDefault="009500AF" w:rsidP="00410F24">
      <w:r>
        <w:separator/>
      </w:r>
    </w:p>
  </w:endnote>
  <w:endnote w:type="continuationSeparator" w:id="0">
    <w:p w14:paraId="7EC6A20F" w14:textId="77777777" w:rsidR="009500AF" w:rsidRDefault="009500AF" w:rsidP="0041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64AE5" w14:textId="77777777" w:rsidR="009500AF" w:rsidRDefault="009500AF" w:rsidP="00410F24">
      <w:r>
        <w:separator/>
      </w:r>
    </w:p>
  </w:footnote>
  <w:footnote w:type="continuationSeparator" w:id="0">
    <w:p w14:paraId="73C865C1" w14:textId="77777777" w:rsidR="009500AF" w:rsidRDefault="009500AF" w:rsidP="00410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F4"/>
    <w:rsid w:val="00181681"/>
    <w:rsid w:val="001E0261"/>
    <w:rsid w:val="002249A6"/>
    <w:rsid w:val="00410F24"/>
    <w:rsid w:val="00540E7E"/>
    <w:rsid w:val="00640DF2"/>
    <w:rsid w:val="007D6628"/>
    <w:rsid w:val="008C6A5C"/>
    <w:rsid w:val="009500AF"/>
    <w:rsid w:val="00AA40FD"/>
    <w:rsid w:val="00BA30F4"/>
    <w:rsid w:val="00D642A9"/>
    <w:rsid w:val="00E43DC6"/>
    <w:rsid w:val="00EA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78097"/>
  <w15:chartTrackingRefBased/>
  <w15:docId w15:val="{E0224E4C-BCF5-4358-86A0-E76EEAE6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A30F4"/>
    <w:pPr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F4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Web">
    <w:name w:val="Normal (Web)"/>
    <w:basedOn w:val="a"/>
    <w:uiPriority w:val="99"/>
    <w:unhideWhenUsed/>
    <w:rsid w:val="001E0261"/>
    <w:pPr>
      <w:autoSpaceDN/>
      <w:spacing w:before="100" w:beforeAutospacing="1" w:after="100" w:afterAutospacing="1"/>
      <w:textAlignment w:val="auto"/>
    </w:pPr>
    <w:rPr>
      <w:rFonts w:ascii="MS PGothic" w:eastAsia="MS PGothic" w:hAnsi="MS PGothic" w:cs="MS PGothic"/>
      <w:kern w:val="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</dc:creator>
  <cp:keywords/>
  <dc:description/>
  <cp:lastModifiedBy>DELL</cp:lastModifiedBy>
  <cp:revision>3</cp:revision>
  <dcterms:created xsi:type="dcterms:W3CDTF">2025-06-05T09:15:00Z</dcterms:created>
  <dcterms:modified xsi:type="dcterms:W3CDTF">2025-06-05T09:19:00Z</dcterms:modified>
</cp:coreProperties>
</file>