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BA6D20">
        <w:rPr>
          <w:rFonts w:ascii="標楷體" w:eastAsia="標楷體" w:hAnsi="標楷體" w:hint="eastAsia"/>
          <w:b/>
          <w:sz w:val="28"/>
          <w:szCs w:val="28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BA6D20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A6D20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BA6D20" w:rsidRDefault="00BA6D20" w:rsidP="00BA6D20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單元折線圖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認識複雜長條圖和折線圖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繪製折線圖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D-5-1製作折線圖：製作生活中的折線圖</w:t>
            </w:r>
            <w:bookmarkStart w:id="0" w:name="_GoBack"/>
            <w:bookmarkEnd w:id="0"/>
            <w:r w:rsidRPr="007A60A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1報讀圓形圖，製作折線圖與圓形圖，並據以做簡單推論。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82131F" w:rsidRDefault="00BA6D20" w:rsidP="00BA6D2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寫法：</w:t>
            </w:r>
          </w:p>
          <w:p w:rsidR="00BA6D20" w:rsidRPr="0082131F" w:rsidRDefault="00BA6D20" w:rsidP="00BA6D2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領域-議題-(議題實質內涵代碼)-時數</w:t>
            </w:r>
          </w:p>
          <w:p w:rsidR="00BA6D20" w:rsidRPr="003811FC" w:rsidRDefault="00BA6D20" w:rsidP="00BA6D20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範例：</w:t>
            </w:r>
          </w:p>
          <w:p w:rsidR="00BA6D20" w:rsidRPr="003811FC" w:rsidRDefault="00BA6D20" w:rsidP="00BA6D20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法定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：本土語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-性別-(性E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)-2</w:t>
            </w:r>
          </w:p>
          <w:p w:rsidR="00BA6D20" w:rsidRPr="003811FC" w:rsidRDefault="00BA6D20" w:rsidP="00BA6D20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課綱：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人權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-(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人E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82131F" w:rsidRDefault="00BA6D20" w:rsidP="00BA6D20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3811FC" w:rsidRDefault="00BA6D20" w:rsidP="00BA6D20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二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單元因數和倍數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整除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因數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公因數和最大公因數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N-5-3公因數和公倍數：因數、倍數、公因數、公倍數、最大公因數、最小公倍數的意義。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3 認識因數、倍數、質數、最大公因數、最小公倍數的意義、計算與應用。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803599" w:rsidRDefault="00BA6D20" w:rsidP="00BA6D2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二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單元因數和倍數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倍數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公倍數和最小公倍數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倍數的應用─找2、5和10的倍數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N-5-3公因數和公倍數：因數、倍數、公因數、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公倍數、最大公因數、最小公倍數的意義。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3 認識因數、倍數、質數、最大公因數、最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小公倍數的意義、計算與應用。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803599" w:rsidRDefault="00BA6D20" w:rsidP="00BA6D2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三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單元多邊形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多邊形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正多邊形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三角形邊長的性質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多邊形內角和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S-5-1三角形與四邊形的性質：操作活動與簡單推理。含三角形三內角和為180度。三角形任意兩邊和大於第三邊。平行四邊形的對邊相等、對角相等。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5以簡單推理，理解幾何形體的性質。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三單元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邊形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多邊形內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角和的應用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四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擴分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S-5-1三角形與四邊形的性質：操作活動與簡單推理。含三角形三內角和為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180度。三角形任意兩邊和大於第三邊。平行四邊形的對邊相等、對角相等。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5以簡單推理，理解幾何形體的性質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四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單元擴分、約分和通分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約分</w:t>
            </w:r>
          </w:p>
          <w:p w:rsidR="00BA6D20" w:rsidRPr="009F6BCF" w:rsidRDefault="00BA6D20" w:rsidP="00BA6D20">
            <w:pPr>
              <w:jc w:val="both"/>
              <w:rPr>
                <w:rFonts w:ascii="MS Gothic" w:hAnsi="MS Gothic" w:cs="MS Gothic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通分和異分母分數的大小比較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N-5-4異分母分數：用約分、擴分處理等值分數並做比較。用通分做異分母分數的加減。養成利用約分化簡分數計算習慣。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4理解約分、擴分、通分的意義，並應用於異分母分數的加減。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五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單元線對稱圖形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認識線對稱圖形和對稱軸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認識對稱點、對稱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邊和對稱角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S-5-4線對稱：線對稱的意義。「對稱軸」、「對稱點」、「對稱邊」、「對稱角」。由操作活動知道特殊平面圖形的線對稱性質。利用線對稱做簡單幾何推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理。製作或繪製線對稱圖形。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6認識線對稱的意義與其推論。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五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單元線對稱圖形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畫出線對稱圖形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剪出線對稱圖形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S-5-4線對稱：線對稱的意義。「對稱軸」、「對稱點」、「對稱邊」、「對稱角」。由操作活動知道特殊平面圖形的線對稱性質。利用線對稱做簡單幾何推理。製作或繪製線對稱圖形。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6認識線對稱的意義與其推論。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加油小站一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D-5-1製作折線圖：製作生活中的折線圖。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1報讀圓形圖，製作折線圖與圓形圖，並據以做簡單推論。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六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單元異分母分數的加減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異分母分數的加法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異分母分數的減法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分數的應用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N-5-4異分母分數：用約分、擴分處理等值分數並做比較。用通分做異分母分數的加減。養成利用約分化簡分數計算習慣。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4理解約分、擴分、通分的意義，並應用於異分母分數的加減。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七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單元整數四則計算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連除的計算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多步驟計算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N-5-2解題：多步驟應用問題。除「平均」之外，原則上為三步驟解題應用。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2在具體情境中，解決三步驟以上之常見應用問題。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七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單元整數四則計算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平均問題</w:t>
            </w:r>
          </w:p>
          <w:p w:rsidR="00BA6D20" w:rsidRPr="005A322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分配律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N-5-2解題：多步驟應用問題。除「平均」之外，原則上為三步驟解題應用。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2在具體情境中，解決三步驟以上之常見應用問題。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八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單元平行四邊形、三角形和梯形的面積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平行四邊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形的面積和高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三角形的面積和高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 xml:space="preserve">S-5-2三角形與四邊形的面積：操作活動與推理。利用切割重組，建立面積公式，並能應用。 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1理解三角形、平行四邊形與梯形的面積計算。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八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單元平行四邊形、三角形和梯形的面積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梯形的面積和高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面積公式的應用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S-5-2三角形與四邊形的面積：操作活動與推理。利用切割重組，建立面積公式，並能應用。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1理解三角形、平行四邊形與梯形的面積計算。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九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單元時間的乘除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時間的乘法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時間的除法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N-5-16解題：時間的乘除問題。在分數和小數學習的範圍內，解決與時間相關的乘除問題。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11認識量的常用單位及其換算，並處理相關的應用問題。。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9單元時間的乘除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時間的除法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6D5505">
              <w:rPr>
                <w:rFonts w:ascii="MS Gothic" w:hAnsi="MS Gothic" w:cs="MS Gothic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時間的應用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N-5-16解題：時間的乘除問題。在分數和小數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學習的範圍內，解決與時間相關的乘除問題。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11認識量的常用單位及其換算，並處理</w:t>
            </w:r>
            <w:r w:rsidRPr="007A60A2">
              <w:rPr>
                <w:rFonts w:ascii="標楷體" w:eastAsia="標楷體" w:hAnsi="標楷體" w:hint="eastAsia"/>
                <w:color w:val="000000"/>
              </w:rPr>
              <w:lastRenderedPageBreak/>
              <w:t>相關的應用問題。。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十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單元正方體和長方體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正方體和長方體的構成要素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邊與邊的垂直和平行關係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面與面的垂直和平行關係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3從操作活動，理解空間中面與面的關係與簡單立體形體的性質。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十</w:t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單元正方體和長方體</w:t>
            </w:r>
          </w:p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正方體和長方體的展開圖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5: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br/>
            </w:r>
            <w:r w:rsidRPr="0018478E">
              <w:rPr>
                <w:rFonts w:ascii="標楷體" w:eastAsia="標楷體" w:hAnsi="標楷體"/>
                <w:bCs/>
                <w:color w:val="000000"/>
                <w:kern w:val="0"/>
              </w:rPr>
              <w:t>正方體和長方體的表面積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3從操作活動，理解空間中面與面的關係與簡單立體形體的性質。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18478E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加油小站二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N-5-2 解題：多步驟應用問題。除「平均」之外，原則上為三步驟解題應用。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2在具體情境中，解決三步驟以上之常見應用問題。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數學探索</w:t>
            </w:r>
          </w:p>
          <w:p w:rsidR="00BA6D20" w:rsidRPr="0018478E" w:rsidRDefault="00BA6D20" w:rsidP="00BA6D20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18478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密數脫逃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01E5A" w:rsidRDefault="00BA6D20" w:rsidP="00BA6D2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rPr>
                <w:rFonts w:ascii="標楷體" w:eastAsia="標楷體" w:hAnsi="標楷體" w:hint="eastAsia"/>
                <w:snapToGrid w:val="0"/>
                <w:color w:val="000000"/>
              </w:rPr>
            </w:pPr>
            <w:r w:rsidRPr="007A60A2">
              <w:rPr>
                <w:rFonts w:ascii="標楷體" w:eastAsia="標楷體" w:hAnsi="標楷體" w:hint="eastAsia"/>
                <w:snapToGrid w:val="0"/>
                <w:color w:val="000000"/>
              </w:rPr>
              <w:t>N-5-2 解題：多步驟應用問題。除「平均」之外，原則上為三步驟解題應用。</w:t>
            </w:r>
          </w:p>
          <w:p w:rsidR="00BA6D20" w:rsidRPr="007A60A2" w:rsidRDefault="00BA6D20" w:rsidP="00C9551D">
            <w:pPr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2在具體情境中，解決三步驟以上之常見應用問題。</w:t>
            </w:r>
          </w:p>
          <w:p w:rsidR="00BA6D20" w:rsidRPr="007A60A2" w:rsidRDefault="00BA6D20" w:rsidP="00C9551D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6D20" w:rsidRPr="00C2223E" w:rsidTr="00C9551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D55CD8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Default="00BA6D20" w:rsidP="00C9551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D-5-1製作折線圖：製作生活中的折線圖。</w:t>
            </w:r>
          </w:p>
          <w:p w:rsidR="00BA6D20" w:rsidRPr="00C2223E" w:rsidRDefault="00BA6D20" w:rsidP="00C9551D">
            <w:pPr>
              <w:jc w:val="both"/>
              <w:rPr>
                <w:rFonts w:ascii="標楷體" w:eastAsia="標楷體" w:hAnsi="標楷體"/>
                <w:dstrike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N-5-2 解題：多步驟應用問題。除「平均」之外，原則上為三步驟解題應用。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20" w:rsidRDefault="00BA6D20" w:rsidP="00C9551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d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1報讀圓形圖，製作折線圖與圓形圖，並據以做簡單推論。</w:t>
            </w:r>
          </w:p>
          <w:p w:rsidR="00BA6D20" w:rsidRPr="00C2223E" w:rsidRDefault="00BA6D20" w:rsidP="00C9551D">
            <w:pPr>
              <w:jc w:val="both"/>
              <w:rPr>
                <w:rFonts w:ascii="標楷體" w:eastAsia="標楷體" w:hAnsi="標楷體"/>
              </w:rPr>
            </w:pPr>
            <w:r w:rsidRPr="007A60A2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-Ⅲ-</w:t>
            </w:r>
            <w:r w:rsidRPr="007A60A2">
              <w:rPr>
                <w:rFonts w:ascii="標楷體" w:eastAsia="標楷體" w:hAnsi="標楷體" w:hint="eastAsia"/>
                <w:color w:val="000000"/>
              </w:rPr>
              <w:t>2在具體情境中，解決三步驟以上之常見應用問題。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Default="00BA6D20" w:rsidP="00BA6D2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行為觀察</w:t>
            </w:r>
          </w:p>
          <w:p w:rsidR="00BA6D20" w:rsidRPr="00C2223E" w:rsidRDefault="00BA6D20" w:rsidP="00BA6D20">
            <w:pPr>
              <w:jc w:val="both"/>
              <w:rPr>
                <w:rFonts w:ascii="標楷體" w:eastAsia="標楷體" w:hAnsi="標楷體" w:hint="eastAsia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20" w:rsidRPr="00C2223E" w:rsidRDefault="00BA6D20" w:rsidP="00BA6D2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lastRenderedPageBreak/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8D2E3D" w:rsidRDefault="008D2E3D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15" w:rsidRDefault="00703915" w:rsidP="008D2E3D">
      <w:r>
        <w:separator/>
      </w:r>
    </w:p>
  </w:endnote>
  <w:endnote w:type="continuationSeparator" w:id="0">
    <w:p w:rsidR="00703915" w:rsidRDefault="00703915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15" w:rsidRDefault="00703915" w:rsidP="008D2E3D">
      <w:r>
        <w:separator/>
      </w:r>
    </w:p>
  </w:footnote>
  <w:footnote w:type="continuationSeparator" w:id="0">
    <w:p w:rsidR="00703915" w:rsidRDefault="00703915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3C7DE3"/>
    <w:rsid w:val="003E2365"/>
    <w:rsid w:val="005E5CD1"/>
    <w:rsid w:val="0064494E"/>
    <w:rsid w:val="00703915"/>
    <w:rsid w:val="00882B8D"/>
    <w:rsid w:val="008D2E3D"/>
    <w:rsid w:val="00933793"/>
    <w:rsid w:val="009C349A"/>
    <w:rsid w:val="00A31E25"/>
    <w:rsid w:val="00BA13EA"/>
    <w:rsid w:val="00BA55FE"/>
    <w:rsid w:val="00BA6D20"/>
    <w:rsid w:val="00C9551D"/>
    <w:rsid w:val="00D642A9"/>
    <w:rsid w:val="00D7379D"/>
    <w:rsid w:val="00E1031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9B74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Windows 使用者</cp:lastModifiedBy>
  <cp:revision>17</cp:revision>
  <dcterms:created xsi:type="dcterms:W3CDTF">2023-06-04T03:15:00Z</dcterms:created>
  <dcterms:modified xsi:type="dcterms:W3CDTF">2025-05-28T06:16:00Z</dcterms:modified>
</cp:coreProperties>
</file>